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b/>
          <w:bCs/>
          <w:sz w:val="36"/>
          <w:szCs w:val="36"/>
        </w:rPr>
        <w:t xml:space="preserve">SOP: Regulatory Filing Workflow</w:t>
      </w:r>
    </w:p>
    <w:p>
      <w:pPr>
        <w:spacing w:after="300"/>
      </w:pPr>
      <w:r>
        <w:rPr>
          <w:i/>
          <w:iCs/>
          <w:sz w:val="20"/>
          <w:szCs w:val="20"/>
        </w:rPr>
        <w:t xml:space="preserve">Viksit Multinational Confederation — Sample Resource Document</w:t>
      </w:r>
    </w:p>
    <w:p>
      <w:pPr>
        <w:pStyle w:val="Heading2"/>
        <w:spacing w:after="100" w:before="200"/>
      </w:pPr>
      <w:r>
        <w:t xml:space="preserve">Purpose</w:t>
      </w:r>
    </w:p>
    <w:p>
      <w:pPr>
        <w:spacing w:after="150"/>
      </w:pPr>
      <w:r>
        <w:t xml:space="preserve">Standardise the regulatory filing process across VMC member firms to reduce errors and delays.</w:t>
      </w:r>
    </w:p>
    <w:p>
      <w:pPr>
        <w:pStyle w:val="Heading2"/>
        <w:spacing w:after="100" w:before="200"/>
      </w:pPr>
      <w:r>
        <w:t xml:space="preserve">Workflow Steps</w:t>
      </w:r>
    </w:p>
    <w:p>
      <w:pPr>
        <w:spacing w:after="150"/>
      </w:pPr>
      <w:r>
        <w:t xml:space="preserve">1. Data collection 2. Internal review 3. Partner sign-off 4. Filing submission 5. Confirmation and record-keeping.</w:t>
      </w:r>
    </w:p>
    <w:p>
      <w:pPr>
        <w:pStyle w:val="Heading2"/>
        <w:spacing w:after="100" w:before="200"/>
      </w:pPr>
      <w:r>
        <w:t xml:space="preserve">Escalation Path</w:t>
      </w:r>
    </w:p>
    <w:p>
      <w:pPr>
        <w:spacing w:after="150"/>
      </w:pPr>
      <w:r>
        <w:t xml:space="preserve">Any discrepancies should be escalated to the designated compliance lead within 24 hours.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2026-07-10T09:27:31.228Z</dcterms:created>
  <dcterms:modified xsi:type="dcterms:W3CDTF">2026-07-10T09:27:31.228Z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